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C7BD" w14:textId="77777777" w:rsidR="00055830" w:rsidRDefault="00055830" w:rsidP="00055830">
      <w:pPr>
        <w:pStyle w:val="Nagwek1"/>
        <w:spacing w:line="240" w:lineRule="auto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Wyzwania rozwojowe województwa łódzkiego</w:t>
      </w:r>
    </w:p>
    <w:p w14:paraId="21D37DDF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heading=h.7q90496nbyon"/>
      <w:bookmarkEnd w:id="0"/>
    </w:p>
    <w:p w14:paraId="4990902E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Województwo łódzkie, podobnie jak wiele innych regionów w Europie i na świecie, stoi przed różnymi wyzwaniami rozwojowymi, uwarunkowanymi czynnikami wewnętrznymi, ogólnokrajowymi i ogólnoświatowymi trendami gospodarczymi. Zmianie uległy trendy w handlu międzynarodowym, kwestie związane z bezpieczeństwem energetycznym, stabilnością rozwoju przedsiębiorstw, wzrostu cen surowców, produktów i usług. Pojawiły się również zupełnie nowe trendy m.in. w obszarze e-handlu, pracy zdalnej czy rosnącego znaczenia technologii big data, blockchain, sztucznej inteligencji oraz postępującej automatyzacji i robotyzacji (m.in. rosnące znaczenie przemysłu 4.0 czy IoT). Poniżej wskazano na najistotniejsze z wyzwań, które wynikają z analiz przygotowanych na potrzeby niniejszego dokumentu.</w:t>
      </w:r>
    </w:p>
    <w:p w14:paraId="49F80914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B813256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Ludność</w:t>
      </w:r>
    </w:p>
    <w:p w14:paraId="3674E090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CD7CD8D" w14:textId="349088CB" w:rsidR="00055830" w:rsidRDefault="008221CA" w:rsidP="0042646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10AF7">
        <w:rPr>
          <w:rFonts w:ascii="Arial Narrow" w:hAnsi="Arial Narrow"/>
          <w:sz w:val="24"/>
          <w:szCs w:val="24"/>
        </w:rPr>
        <w:t xml:space="preserve">Województwo łódzkie charakteryzuje się trudną sytuacją demograficzną. </w:t>
      </w:r>
      <w:r w:rsidR="00E83AA1" w:rsidRPr="00E83AA1">
        <w:rPr>
          <w:rFonts w:ascii="Arial Narrow" w:hAnsi="Arial Narrow"/>
          <w:sz w:val="24"/>
          <w:szCs w:val="24"/>
        </w:rPr>
        <w:t>Główną przyczyną ubytku ludności województwa jest ubytek naturalny</w:t>
      </w:r>
      <w:r w:rsidR="008E1EE1">
        <w:rPr>
          <w:rFonts w:ascii="Arial Narrow" w:hAnsi="Arial Narrow"/>
          <w:sz w:val="24"/>
          <w:szCs w:val="24"/>
        </w:rPr>
        <w:t>. W</w:t>
      </w:r>
      <w:r w:rsidR="00110AF7">
        <w:rPr>
          <w:rFonts w:ascii="Arial Narrow" w:hAnsi="Arial Narrow"/>
          <w:sz w:val="24"/>
          <w:szCs w:val="24"/>
        </w:rPr>
        <w:t xml:space="preserve">pływ na to miała pandemia COVID-19, która spowodowała zwiększoną umieralność. </w:t>
      </w:r>
      <w:r w:rsidR="007C1A1D">
        <w:rPr>
          <w:rFonts w:ascii="Arial Narrow" w:hAnsi="Arial Narrow"/>
          <w:sz w:val="24"/>
          <w:szCs w:val="24"/>
        </w:rPr>
        <w:t xml:space="preserve">Oprócz tego dostrzegalne jest także zjawisko migracji zewnętrznych (głównie zarobkowych), powodujących odpływ ludności poszukującej zatrudnienia w regionach oferujących korzystniejsze warunki. </w:t>
      </w:r>
      <w:r w:rsidR="00055830">
        <w:rPr>
          <w:rFonts w:ascii="Arial Narrow" w:hAnsi="Arial Narrow"/>
          <w:sz w:val="24"/>
          <w:szCs w:val="24"/>
        </w:rPr>
        <w:t xml:space="preserve">Głównym wyzwaniem w tym obszarze dla regionu będzie zahamowanie tego trendu. </w:t>
      </w:r>
    </w:p>
    <w:p w14:paraId="3DF580E0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BCE9295" w14:textId="77777777" w:rsidR="00055830" w:rsidRDefault="00055830" w:rsidP="00055830">
      <w:pPr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Przedsiębiorczość</w:t>
      </w:r>
    </w:p>
    <w:p w14:paraId="6EDA5BDB" w14:textId="77777777" w:rsidR="00055830" w:rsidRDefault="00055830" w:rsidP="00055830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4A02D8F8" w14:textId="1E93CAA9" w:rsidR="00055830" w:rsidRDefault="006368FA" w:rsidP="0009364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055830">
        <w:rPr>
          <w:rFonts w:ascii="Arial Narrow" w:hAnsi="Arial Narrow"/>
          <w:sz w:val="24"/>
          <w:szCs w:val="24"/>
        </w:rPr>
        <w:t>andemia COVID-19 dotknęła region łódzki moc</w:t>
      </w:r>
      <w:r w:rsidR="009D4892">
        <w:rPr>
          <w:rFonts w:ascii="Arial Narrow" w:hAnsi="Arial Narrow"/>
          <w:sz w:val="24"/>
          <w:szCs w:val="24"/>
        </w:rPr>
        <w:t>niej niż pozostałe województwa, w szczególności s</w:t>
      </w:r>
      <w:r w:rsidR="00A16841">
        <w:rPr>
          <w:rFonts w:ascii="Arial Narrow" w:hAnsi="Arial Narrow"/>
          <w:sz w:val="24"/>
          <w:szCs w:val="24"/>
        </w:rPr>
        <w:t xml:space="preserve">padła </w:t>
      </w:r>
      <w:r w:rsidR="00055830">
        <w:rPr>
          <w:rFonts w:ascii="Arial Narrow" w:hAnsi="Arial Narrow"/>
          <w:sz w:val="24"/>
          <w:szCs w:val="24"/>
        </w:rPr>
        <w:t>wartość produkcji sprzedanej przemysłu i budownictwa</w:t>
      </w:r>
      <w:r w:rsidR="0028185B">
        <w:rPr>
          <w:rFonts w:ascii="Arial Narrow" w:hAnsi="Arial Narrow"/>
          <w:sz w:val="24"/>
          <w:szCs w:val="24"/>
        </w:rPr>
        <w:t>, osiągając n</w:t>
      </w:r>
      <w:r w:rsidR="0028185B" w:rsidRPr="0028185B">
        <w:rPr>
          <w:rFonts w:ascii="Arial Narrow" w:hAnsi="Arial Narrow"/>
          <w:sz w:val="24"/>
          <w:szCs w:val="24"/>
        </w:rPr>
        <w:t>iski poziom przedsiębiorczości mieszkańców</w:t>
      </w:r>
      <w:r w:rsidR="0028185B">
        <w:rPr>
          <w:rFonts w:ascii="Arial Narrow" w:hAnsi="Arial Narrow"/>
          <w:sz w:val="24"/>
          <w:szCs w:val="24"/>
        </w:rPr>
        <w:t>. Z drugiej strony</w:t>
      </w:r>
      <w:r w:rsidR="00093641" w:rsidRPr="00093641">
        <w:rPr>
          <w:rFonts w:ascii="Arial Narrow" w:hAnsi="Arial Narrow"/>
          <w:sz w:val="24"/>
          <w:szCs w:val="24"/>
        </w:rPr>
        <w:t xml:space="preserve"> Łódź</w:t>
      </w:r>
      <w:r w:rsidR="00093641">
        <w:rPr>
          <w:rFonts w:ascii="Arial Narrow" w:hAnsi="Arial Narrow"/>
          <w:sz w:val="24"/>
          <w:szCs w:val="24"/>
        </w:rPr>
        <w:t xml:space="preserve"> </w:t>
      </w:r>
      <w:r w:rsidR="00093641" w:rsidRPr="00093641">
        <w:rPr>
          <w:rFonts w:ascii="Arial Narrow" w:hAnsi="Arial Narrow"/>
          <w:sz w:val="24"/>
          <w:szCs w:val="24"/>
        </w:rPr>
        <w:t>stopniowo zwiększa swoją atrakcyjność dla firm świadczących usługi profesjonalne, IT i telekomunikacyjne,</w:t>
      </w:r>
      <w:r w:rsidR="00093641">
        <w:rPr>
          <w:rFonts w:ascii="Arial Narrow" w:hAnsi="Arial Narrow"/>
          <w:sz w:val="24"/>
          <w:szCs w:val="24"/>
        </w:rPr>
        <w:t xml:space="preserve"> </w:t>
      </w:r>
      <w:r w:rsidR="00093641" w:rsidRPr="00093641">
        <w:rPr>
          <w:rFonts w:ascii="Arial Narrow" w:hAnsi="Arial Narrow"/>
          <w:sz w:val="24"/>
          <w:szCs w:val="24"/>
        </w:rPr>
        <w:t>finansowe i ubezpieczeniowe oraz produkcyjne</w:t>
      </w:r>
      <w:r w:rsidR="00093641">
        <w:rPr>
          <w:rFonts w:ascii="Arial Narrow" w:hAnsi="Arial Narrow"/>
          <w:sz w:val="24"/>
          <w:szCs w:val="24"/>
        </w:rPr>
        <w:t xml:space="preserve">. </w:t>
      </w:r>
      <w:r w:rsidR="0028185B" w:rsidRPr="0028185B">
        <w:rPr>
          <w:rFonts w:ascii="Arial Narrow" w:hAnsi="Arial Narrow"/>
          <w:sz w:val="24"/>
          <w:szCs w:val="24"/>
        </w:rPr>
        <w:t>Województwo jest także jednym z największych w kraju obszarów koncentracji działalności logistycznej.</w:t>
      </w:r>
      <w:r w:rsidR="0028185B">
        <w:rPr>
          <w:rFonts w:ascii="Arial Narrow" w:hAnsi="Arial Narrow"/>
          <w:sz w:val="24"/>
          <w:szCs w:val="24"/>
        </w:rPr>
        <w:t xml:space="preserve"> Dlatego kluczowym wyzwaniem w tym obszarze będzie przede wszystkim stworzenie warunków, ułatwiających prowadzenie działalności w regionie oraz stymulujących współpracę i tworzących pozytywny klimat dla pr</w:t>
      </w:r>
      <w:r w:rsidR="008E1EE1">
        <w:rPr>
          <w:rFonts w:ascii="Arial Narrow" w:hAnsi="Arial Narrow"/>
          <w:sz w:val="24"/>
          <w:szCs w:val="24"/>
        </w:rPr>
        <w:t>zedsiębiorczości.</w:t>
      </w:r>
    </w:p>
    <w:p w14:paraId="6A4A7809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5EBD839" w14:textId="77777777" w:rsidR="00055830" w:rsidRDefault="00055830" w:rsidP="00055830">
      <w:pPr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Internacjonalizacja</w:t>
      </w:r>
    </w:p>
    <w:p w14:paraId="03D2CC37" w14:textId="77777777" w:rsidR="00055830" w:rsidRDefault="00055830" w:rsidP="00055830">
      <w:pPr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8F114B9" w14:textId="21FB4E2B" w:rsidR="00055830" w:rsidRDefault="00055830" w:rsidP="0005583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Wyzwaniem jest nierównomierny rozkład firm z udziałem kapitału zagranicznego w województwie łódzkim. Miasto Łódź jest siedzibą ponad połowy firm z udziałem kapitału zagranicznego w regionie. W województwie łódzkim znaczną rolę odgrywają przedsiębiorstwa z branż takich, jak: rolno-spożywcza, surowców budowlanych czy przetwórstwa drewna – ich siedziby mogłyby się znajdować także poza Łodzią</w:t>
      </w:r>
      <w:r w:rsidR="00F22E68">
        <w:rPr>
          <w:rFonts w:ascii="Arial Narrow" w:hAnsi="Arial Narrow" w:cs="Arial"/>
          <w:sz w:val="24"/>
          <w:szCs w:val="24"/>
        </w:rPr>
        <w:t>, t</w:t>
      </w:r>
      <w:r>
        <w:rPr>
          <w:rFonts w:ascii="Arial Narrow" w:hAnsi="Arial Narrow" w:cs="Arial"/>
          <w:sz w:val="24"/>
          <w:szCs w:val="24"/>
        </w:rPr>
        <w:t>worz</w:t>
      </w:r>
      <w:r w:rsidR="00F22E68">
        <w:rPr>
          <w:rFonts w:ascii="Arial Narrow" w:hAnsi="Arial Narrow" w:cs="Arial"/>
          <w:sz w:val="24"/>
          <w:szCs w:val="24"/>
        </w:rPr>
        <w:t>ąc</w:t>
      </w:r>
      <w:r>
        <w:rPr>
          <w:rFonts w:ascii="Arial Narrow" w:hAnsi="Arial Narrow" w:cs="Arial"/>
          <w:sz w:val="24"/>
          <w:szCs w:val="24"/>
        </w:rPr>
        <w:t xml:space="preserve"> dobr</w:t>
      </w:r>
      <w:r w:rsidR="00F22E68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warunków dla inwestorów</w:t>
      </w:r>
      <w:r w:rsidR="00F22E68">
        <w:rPr>
          <w:rFonts w:ascii="Arial Narrow" w:hAnsi="Arial Narrow" w:cs="Arial"/>
          <w:sz w:val="24"/>
          <w:szCs w:val="24"/>
        </w:rPr>
        <w:t>.</w:t>
      </w:r>
      <w:bookmarkStart w:id="1" w:name="_GoBack"/>
      <w:bookmarkEnd w:id="1"/>
    </w:p>
    <w:p w14:paraId="1628F4BD" w14:textId="77777777" w:rsidR="00A16841" w:rsidRDefault="00A16841" w:rsidP="0005583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3B4E6A1" w14:textId="77777777" w:rsidR="00055830" w:rsidRDefault="00055830" w:rsidP="00055830">
      <w:pPr>
        <w:spacing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Innowacyjność</w:t>
      </w:r>
    </w:p>
    <w:p w14:paraId="2E009E22" w14:textId="77777777" w:rsidR="00055830" w:rsidRDefault="00055830" w:rsidP="0005583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BF4A8D" w14:textId="069FBADD" w:rsidR="00055830" w:rsidRDefault="004B6BE7" w:rsidP="00904302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Ponieważ Łódzkie</w:t>
      </w:r>
      <w:r w:rsidR="00055830">
        <w:rPr>
          <w:rFonts w:ascii="Arial Narrow" w:hAnsi="Arial Narrow"/>
          <w:sz w:val="24"/>
          <w:szCs w:val="24"/>
        </w:rPr>
        <w:t xml:space="preserve"> posiadania wysoki potencjał w zakresie wytwarzania rozwiązań z obszaru B+R (zasoby i infrastruktura), </w:t>
      </w:r>
      <w:r>
        <w:rPr>
          <w:rFonts w:ascii="Arial Narrow" w:hAnsi="Arial Narrow"/>
          <w:sz w:val="24"/>
          <w:szCs w:val="24"/>
        </w:rPr>
        <w:t>należy go</w:t>
      </w:r>
      <w:r w:rsidR="00055830">
        <w:rPr>
          <w:rFonts w:ascii="Arial Narrow" w:hAnsi="Arial Narrow"/>
          <w:sz w:val="24"/>
          <w:szCs w:val="24"/>
        </w:rPr>
        <w:t xml:space="preserve"> wykorzyst</w:t>
      </w:r>
      <w:r>
        <w:rPr>
          <w:rFonts w:ascii="Arial Narrow" w:hAnsi="Arial Narrow"/>
          <w:sz w:val="24"/>
          <w:szCs w:val="24"/>
        </w:rPr>
        <w:t>ać bardzie</w:t>
      </w:r>
      <w:r w:rsidR="009D4892"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/>
          <w:sz w:val="24"/>
          <w:szCs w:val="24"/>
        </w:rPr>
        <w:t xml:space="preserve"> dynamicznie. </w:t>
      </w:r>
      <w:r w:rsidR="00C36430">
        <w:rPr>
          <w:rFonts w:ascii="Arial Narrow" w:hAnsi="Arial Narrow"/>
          <w:sz w:val="24"/>
          <w:szCs w:val="24"/>
        </w:rPr>
        <w:t>Podobna sytuacja jest w</w:t>
      </w:r>
      <w:r w:rsidR="00055830">
        <w:rPr>
          <w:rFonts w:ascii="Arial Narrow" w:hAnsi="Arial Narrow"/>
          <w:sz w:val="24"/>
          <w:szCs w:val="24"/>
        </w:rPr>
        <w:t xml:space="preserve"> działalnoś</w:t>
      </w:r>
      <w:r w:rsidR="00C36430">
        <w:rPr>
          <w:rFonts w:ascii="Arial Narrow" w:hAnsi="Arial Narrow"/>
          <w:sz w:val="24"/>
          <w:szCs w:val="24"/>
        </w:rPr>
        <w:t xml:space="preserve">ci </w:t>
      </w:r>
      <w:r w:rsidR="00055830">
        <w:rPr>
          <w:rFonts w:ascii="Arial Narrow" w:hAnsi="Arial Narrow"/>
          <w:sz w:val="24"/>
          <w:szCs w:val="24"/>
        </w:rPr>
        <w:t>badawczo-rozwojow</w:t>
      </w:r>
      <w:r w:rsidR="00C36430">
        <w:rPr>
          <w:rFonts w:ascii="Arial Narrow" w:hAnsi="Arial Narrow"/>
          <w:sz w:val="24"/>
          <w:szCs w:val="24"/>
        </w:rPr>
        <w:t>ej.</w:t>
      </w:r>
      <w:r w:rsidR="00055830">
        <w:rPr>
          <w:rFonts w:ascii="Arial Narrow" w:hAnsi="Arial Narrow"/>
          <w:sz w:val="24"/>
          <w:szCs w:val="24"/>
        </w:rPr>
        <w:t xml:space="preserve"> Może to wynikać z faktu, że większość tego typu działań realizowana jest z wykorzystaniem środków własnych przedsiębiorstw. </w:t>
      </w:r>
      <w:r w:rsidR="00904302" w:rsidRPr="00904302">
        <w:rPr>
          <w:rFonts w:ascii="Arial Narrow" w:hAnsi="Arial Narrow"/>
          <w:sz w:val="24"/>
          <w:szCs w:val="24"/>
        </w:rPr>
        <w:t xml:space="preserve">Intensyfikacja </w:t>
      </w:r>
      <w:r w:rsidR="00431DE7">
        <w:rPr>
          <w:rFonts w:ascii="Arial Narrow" w:hAnsi="Arial Narrow"/>
          <w:sz w:val="24"/>
          <w:szCs w:val="24"/>
        </w:rPr>
        <w:t xml:space="preserve">tej </w:t>
      </w:r>
      <w:r w:rsidR="00904302" w:rsidRPr="00904302">
        <w:rPr>
          <w:rFonts w:ascii="Arial Narrow" w:hAnsi="Arial Narrow"/>
          <w:sz w:val="24"/>
          <w:szCs w:val="24"/>
        </w:rPr>
        <w:t>współpracy, wykorzystanie specjalizacji</w:t>
      </w:r>
      <w:r w:rsidR="00904302">
        <w:rPr>
          <w:rFonts w:ascii="Arial Narrow" w:hAnsi="Arial Narrow"/>
          <w:sz w:val="24"/>
          <w:szCs w:val="24"/>
        </w:rPr>
        <w:t xml:space="preserve"> </w:t>
      </w:r>
      <w:r w:rsidR="00904302" w:rsidRPr="00904302">
        <w:rPr>
          <w:rFonts w:ascii="Arial Narrow" w:hAnsi="Arial Narrow"/>
          <w:sz w:val="24"/>
          <w:szCs w:val="24"/>
        </w:rPr>
        <w:t>regionalnych oraz wciąż silnych tradycji przemysłowych (np. w zakresie produkcji artykułów spożywczych,</w:t>
      </w:r>
      <w:r w:rsidR="00904302">
        <w:rPr>
          <w:rFonts w:ascii="Arial Narrow" w:hAnsi="Arial Narrow"/>
          <w:sz w:val="24"/>
          <w:szCs w:val="24"/>
        </w:rPr>
        <w:t xml:space="preserve"> </w:t>
      </w:r>
      <w:r w:rsidR="00904302" w:rsidRPr="00904302">
        <w:rPr>
          <w:rFonts w:ascii="Arial Narrow" w:hAnsi="Arial Narrow"/>
          <w:sz w:val="24"/>
          <w:szCs w:val="24"/>
        </w:rPr>
        <w:t>farmaceutycznych, wyrobów tekstylnych i odzieży, produkcji mebli) przyczyni się do dalszego wzrostu</w:t>
      </w:r>
      <w:r w:rsidR="00904302">
        <w:rPr>
          <w:rFonts w:ascii="Arial Narrow" w:hAnsi="Arial Narrow"/>
          <w:sz w:val="24"/>
          <w:szCs w:val="24"/>
        </w:rPr>
        <w:t xml:space="preserve"> </w:t>
      </w:r>
      <w:r w:rsidR="00904302" w:rsidRPr="00904302">
        <w:rPr>
          <w:rFonts w:ascii="Arial Narrow" w:hAnsi="Arial Narrow"/>
          <w:sz w:val="24"/>
          <w:szCs w:val="24"/>
        </w:rPr>
        <w:t>konkurencyjności i innowacyjności sektora.</w:t>
      </w:r>
      <w:r w:rsidR="008E1EE1">
        <w:rPr>
          <w:rFonts w:ascii="Arial Narrow" w:hAnsi="Arial Narrow"/>
          <w:sz w:val="24"/>
          <w:szCs w:val="24"/>
        </w:rPr>
        <w:t xml:space="preserve"> </w:t>
      </w:r>
      <w:r w:rsidR="00055830">
        <w:rPr>
          <w:rFonts w:ascii="Arial Narrow" w:hAnsi="Arial Narrow"/>
          <w:sz w:val="24"/>
          <w:szCs w:val="24"/>
        </w:rPr>
        <w:t>Wyzwaniem w tym obszarze będzie również wdrażanie skutecznych rozwiązań, wspierających powstawanie startupów technologicznych, w tym przede wszystkim wsparcie tworzenia ekosystemu startupowego.</w:t>
      </w:r>
      <w:r w:rsidR="00904302">
        <w:rPr>
          <w:rFonts w:ascii="Arial Narrow" w:hAnsi="Arial Narrow"/>
          <w:sz w:val="24"/>
          <w:szCs w:val="24"/>
        </w:rPr>
        <w:t xml:space="preserve"> </w:t>
      </w:r>
    </w:p>
    <w:p w14:paraId="0D9BF903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3ACB03F" w14:textId="77777777" w:rsidR="00055830" w:rsidRDefault="00055830" w:rsidP="00055830">
      <w:pPr>
        <w:spacing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Cyfryzacja</w:t>
      </w:r>
    </w:p>
    <w:p w14:paraId="02F237A8" w14:textId="77777777" w:rsidR="00055830" w:rsidRDefault="00055830" w:rsidP="00055830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14DE88C" w14:textId="0F92D9CB" w:rsidR="00055830" w:rsidRPr="002B7CFD" w:rsidRDefault="00055830" w:rsidP="00E82D8F">
      <w:pPr>
        <w:spacing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Konieczne jest wspieranie dalszych inwestycji publicznych i prywatnych w obszarze dostępu do technologii informacyjno-komunikacyjnych (ICT), a także rozwoju kompetencji cyfrowych. Są one uznawane za kluczowe czynniki wzrostu nowoczesności i konkurencyjności gospodarki oraz rozwijania potencjału intelektualnego regionów i ich mieszkańców. Pomimo poczynionych inwestycji, w dalszym ciągu </w:t>
      </w:r>
      <w:r w:rsidR="002B7CFD">
        <w:rPr>
          <w:rFonts w:ascii="Arial Narrow" w:hAnsi="Arial Narrow" w:cs="Arial"/>
          <w:sz w:val="24"/>
          <w:szCs w:val="24"/>
        </w:rPr>
        <w:t>są</w:t>
      </w:r>
      <w:r>
        <w:rPr>
          <w:rFonts w:ascii="Arial Narrow" w:hAnsi="Arial Narrow" w:cs="Arial"/>
          <w:sz w:val="24"/>
          <w:szCs w:val="24"/>
        </w:rPr>
        <w:t xml:space="preserve"> gospodarstw</w:t>
      </w:r>
      <w:r w:rsidR="002B7CFD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 domow</w:t>
      </w:r>
      <w:r w:rsidR="002B7CFD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B7CFD">
        <w:rPr>
          <w:rFonts w:ascii="Arial Narrow" w:hAnsi="Arial Narrow" w:cs="Arial"/>
          <w:sz w:val="24"/>
          <w:szCs w:val="24"/>
        </w:rPr>
        <w:t>bez</w:t>
      </w:r>
      <w:r>
        <w:rPr>
          <w:rFonts w:ascii="Arial Narrow" w:hAnsi="Arial Narrow" w:cs="Arial"/>
          <w:sz w:val="24"/>
          <w:szCs w:val="24"/>
        </w:rPr>
        <w:t xml:space="preserve"> dostępu do Internetu stacjonarnego o przepustowości co najmniej 30 Mb/s. </w:t>
      </w:r>
      <w:r w:rsidRPr="002B7CFD">
        <w:rPr>
          <w:rFonts w:ascii="Arial Narrow" w:hAnsi="Arial Narrow" w:cs="Arial"/>
          <w:sz w:val="24"/>
          <w:szCs w:val="24"/>
        </w:rPr>
        <w:t xml:space="preserve">Rozwój społeczeństwa informacyjnego przekłada się także na wyzwania w obszarze cyfryzacji gospodarki. </w:t>
      </w:r>
      <w:r w:rsidR="00E82D8F" w:rsidRPr="00E82D8F">
        <w:rPr>
          <w:rFonts w:ascii="Arial Narrow" w:hAnsi="Arial Narrow" w:cs="Arial"/>
          <w:sz w:val="24"/>
          <w:szCs w:val="24"/>
        </w:rPr>
        <w:t>Nieustająco rosnące zapotrzebowanie na</w:t>
      </w:r>
      <w:r w:rsidR="00E82D8F">
        <w:rPr>
          <w:rFonts w:ascii="Arial Narrow" w:hAnsi="Arial Narrow" w:cs="Arial"/>
          <w:sz w:val="24"/>
          <w:szCs w:val="24"/>
        </w:rPr>
        <w:t xml:space="preserve"> </w:t>
      </w:r>
      <w:r w:rsidR="00E82D8F" w:rsidRPr="00E82D8F">
        <w:rPr>
          <w:rFonts w:ascii="Arial Narrow" w:hAnsi="Arial Narrow" w:cs="Arial"/>
          <w:sz w:val="24"/>
          <w:szCs w:val="24"/>
        </w:rPr>
        <w:t>przesył dużej ilości danych powoduje konieczność wprowadzania nowych standardów telekomunikacji</w:t>
      </w:r>
      <w:r w:rsidR="00721D20">
        <w:rPr>
          <w:rFonts w:ascii="Arial Narrow" w:hAnsi="Arial Narrow" w:cs="Arial"/>
          <w:sz w:val="24"/>
          <w:szCs w:val="24"/>
        </w:rPr>
        <w:t xml:space="preserve"> </w:t>
      </w:r>
      <w:r w:rsidR="00E82D8F" w:rsidRPr="00E82D8F">
        <w:rPr>
          <w:rFonts w:ascii="Arial Narrow" w:hAnsi="Arial Narrow" w:cs="Arial"/>
          <w:sz w:val="24"/>
          <w:szCs w:val="24"/>
        </w:rPr>
        <w:t>bezprzewodowej, umożliwiającej porozumiewanie się pomiędzy maszynami (M2M). Odpowiedzią na to</w:t>
      </w:r>
      <w:r w:rsidR="00721D20">
        <w:rPr>
          <w:rFonts w:ascii="Arial Narrow" w:hAnsi="Arial Narrow" w:cs="Arial"/>
          <w:sz w:val="24"/>
          <w:szCs w:val="24"/>
        </w:rPr>
        <w:t xml:space="preserve"> </w:t>
      </w:r>
      <w:r w:rsidR="00E82D8F" w:rsidRPr="00E82D8F">
        <w:rPr>
          <w:rFonts w:ascii="Arial Narrow" w:hAnsi="Arial Narrow" w:cs="Arial"/>
          <w:sz w:val="24"/>
          <w:szCs w:val="24"/>
        </w:rPr>
        <w:t>wyzwanie jest technologia mobilna piątej generacji (5G</w:t>
      </w:r>
      <w:r w:rsidR="00721D20">
        <w:rPr>
          <w:rFonts w:ascii="Arial Narrow" w:hAnsi="Arial Narrow" w:cs="Arial"/>
          <w:sz w:val="24"/>
          <w:szCs w:val="24"/>
        </w:rPr>
        <w:t>).</w:t>
      </w:r>
    </w:p>
    <w:p w14:paraId="44DF0566" w14:textId="77777777" w:rsidR="00055830" w:rsidRPr="002B7CFD" w:rsidRDefault="00055830" w:rsidP="00055830">
      <w:pPr>
        <w:spacing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3ADEEFEC" w14:textId="77777777" w:rsidR="00055830" w:rsidRDefault="00055830" w:rsidP="00055830">
      <w:pPr>
        <w:keepNext/>
        <w:keepLines/>
        <w:spacing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Energetyka</w:t>
      </w:r>
    </w:p>
    <w:p w14:paraId="15A710B8" w14:textId="77777777" w:rsidR="00055830" w:rsidRDefault="00055830" w:rsidP="00055830">
      <w:pPr>
        <w:keepNext/>
        <w:keepLines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5393078" w14:textId="2FFC9ED4" w:rsidR="00055830" w:rsidRDefault="002D5F5C" w:rsidP="001E2E73">
      <w:pPr>
        <w:keepNext/>
        <w:keepLines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26843">
        <w:rPr>
          <w:rFonts w:ascii="Arial Narrow" w:hAnsi="Arial Narrow"/>
          <w:sz w:val="24"/>
          <w:szCs w:val="24"/>
        </w:rPr>
        <w:t>Województwo łódzkie jest jednym z największych w Polsce wytwórców energii</w:t>
      </w:r>
      <w:r>
        <w:rPr>
          <w:rFonts w:ascii="Arial Narrow" w:hAnsi="Arial Narrow"/>
          <w:sz w:val="24"/>
          <w:szCs w:val="24"/>
        </w:rPr>
        <w:t xml:space="preserve"> </w:t>
      </w:r>
      <w:r w:rsidRPr="00026843">
        <w:rPr>
          <w:rFonts w:ascii="Arial Narrow" w:hAnsi="Arial Narrow"/>
          <w:sz w:val="24"/>
          <w:szCs w:val="24"/>
        </w:rPr>
        <w:t xml:space="preserve">elektrycznej za sprawą Elektrowni Bełchatów i powiązanej z nią kopalni węgla brunatnego. </w:t>
      </w:r>
      <w:r w:rsidR="00055830">
        <w:rPr>
          <w:rFonts w:ascii="Arial Narrow" w:hAnsi="Arial Narrow"/>
          <w:sz w:val="24"/>
          <w:szCs w:val="24"/>
        </w:rPr>
        <w:t xml:space="preserve">Wyzwaniem dla regionu łódzkiego w najbliższych latach będzie efektywne przeprowadzenie procesu transformacji energetycznej, w tym zwiększenie udziału energii pozyskiwanej z OZE. Ważną kwestią z perspektywy regionalnych decyzji strategicznych powinno być zwiększanie bezpieczeństwa energetycznego. Wojna w Ukrainie wpłynęła m.in. na zwiększenie cen energii zarówno dla mieszkańców, jak również dla przedsiębiorców. W przypadku tej drugiej grupy efektem podniesienia cen energii jest m.in. zmniejszenie nakładów inwestycyjnych, a niejednokrotnie także rezygnacja z działań w obszarze innowacyjności. Konieczne jest także wspieranie inwestycji w elektromobilność. </w:t>
      </w:r>
      <w:r w:rsidR="001E2E73" w:rsidRPr="001E2E73">
        <w:rPr>
          <w:rFonts w:ascii="Arial Narrow" w:hAnsi="Arial Narrow"/>
          <w:sz w:val="24"/>
          <w:szCs w:val="24"/>
        </w:rPr>
        <w:t>Województwo wykazuje potencjał dla produkcji biomasy, który stanowią gleby o niskiej klasie</w:t>
      </w:r>
      <w:r w:rsidR="001E2E73">
        <w:rPr>
          <w:rFonts w:ascii="Arial Narrow" w:hAnsi="Arial Narrow"/>
          <w:sz w:val="24"/>
          <w:szCs w:val="24"/>
        </w:rPr>
        <w:t xml:space="preserve"> </w:t>
      </w:r>
      <w:r w:rsidR="001E2E73" w:rsidRPr="001E2E73">
        <w:rPr>
          <w:rFonts w:ascii="Arial Narrow" w:hAnsi="Arial Narrow"/>
          <w:sz w:val="24"/>
          <w:szCs w:val="24"/>
        </w:rPr>
        <w:t>bonitacyjnej położone w południowej części województwa.</w:t>
      </w:r>
    </w:p>
    <w:p w14:paraId="3E054C54" w14:textId="77777777" w:rsidR="00055830" w:rsidRDefault="00055830" w:rsidP="0005583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C4DF918" w14:textId="77777777" w:rsidR="00055830" w:rsidRDefault="00055830" w:rsidP="00055830">
      <w:pPr>
        <w:keepNext/>
        <w:keepLines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Klimat</w:t>
      </w:r>
    </w:p>
    <w:p w14:paraId="065A11F9" w14:textId="77777777" w:rsidR="00055830" w:rsidRDefault="00055830" w:rsidP="00055830">
      <w:pPr>
        <w:keepNext/>
        <w:keepLines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AB3360C" w14:textId="6B8DB775" w:rsidR="00055830" w:rsidRDefault="00055830" w:rsidP="00E334AA">
      <w:pPr>
        <w:keepNext/>
        <w:keepLines/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Jednym ze zdiagnozowanych megatrendów w rozwoju gospodarki UE jest ciągłe przeciwdziałanie postępującym zmianom klimatu. Efekty globalnego ocieplenia mogą mieć ogromny wpływ na prowadzenie działalności rolniczej na terenie województwa, a pojawiające się coraz częściej negatywne zjawiska atmosferyczne (w tym m.in.: susze, podtopienia, wysokie temperatury itd.) oddziałują również na codzienne życie mieszkańców regionu.</w:t>
      </w:r>
      <w:r w:rsidR="00E334A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Wyzwaniem w tym obszarze jest również podejmowanie działań zmierzających do podniesienia jakości powietrza w regionie. Czynnik ten jest niezwykle ważny w okresie jesienno-zimowym, w którym w wielu miejscach regionu występują stężenia zanieczyszczeń powietrza niebezpieczne dla zdrowia. </w:t>
      </w:r>
    </w:p>
    <w:p w14:paraId="482D5E80" w14:textId="77777777" w:rsidR="00055830" w:rsidRDefault="00055830" w:rsidP="00055830">
      <w:p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F8F1CF5" w14:textId="77777777" w:rsidR="00055830" w:rsidRDefault="00055830" w:rsidP="00055830">
      <w:pPr>
        <w:spacing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Regionalne inteligentne specjalizacje</w:t>
      </w:r>
    </w:p>
    <w:p w14:paraId="0056AF49" w14:textId="77777777" w:rsidR="00055830" w:rsidRDefault="00055830" w:rsidP="00055830">
      <w:pPr>
        <w:spacing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188F338D" w14:textId="77777777" w:rsidR="00055830" w:rsidRDefault="00055830" w:rsidP="00055830">
      <w:p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Wyzwaniem dla regionu jest również efektywne wspieranie obszarów, które wskazane zostaną jako regionalne inteligentne specjalizacje. To dzięki nim region ma szasnę zwiększać swoją konkurencyjność i innowacyjność. Konieczne jest optymalne dopasowanie instrumentów finansowych i niefinansowych do potrzeb każdej specjalizacji.</w:t>
      </w:r>
    </w:p>
    <w:p w14:paraId="48B96C42" w14:textId="77777777" w:rsidR="00055830" w:rsidRDefault="00055830" w:rsidP="00055830"/>
    <w:p w14:paraId="3C06304B" w14:textId="77777777" w:rsidR="007A08E9" w:rsidRDefault="007A08E9"/>
    <w:sectPr w:rsidR="007A08E9" w:rsidSect="00E334A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137E" w14:textId="77777777" w:rsidR="00B800C2" w:rsidRDefault="00B800C2" w:rsidP="00055830">
      <w:pPr>
        <w:spacing w:line="240" w:lineRule="auto"/>
      </w:pPr>
      <w:r>
        <w:separator/>
      </w:r>
    </w:p>
  </w:endnote>
  <w:endnote w:type="continuationSeparator" w:id="0">
    <w:p w14:paraId="0D0ECF2A" w14:textId="77777777" w:rsidR="00B800C2" w:rsidRDefault="00B800C2" w:rsidP="00055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AB52" w14:textId="77777777" w:rsidR="00B800C2" w:rsidRDefault="00B800C2" w:rsidP="00055830">
      <w:pPr>
        <w:spacing w:line="240" w:lineRule="auto"/>
      </w:pPr>
      <w:r>
        <w:separator/>
      </w:r>
    </w:p>
  </w:footnote>
  <w:footnote w:type="continuationSeparator" w:id="0">
    <w:p w14:paraId="60D1D032" w14:textId="77777777" w:rsidR="00B800C2" w:rsidRDefault="00B800C2" w:rsidP="000558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21"/>
    <w:rsid w:val="00026843"/>
    <w:rsid w:val="00055830"/>
    <w:rsid w:val="00093641"/>
    <w:rsid w:val="00110AF7"/>
    <w:rsid w:val="001E2E73"/>
    <w:rsid w:val="00267908"/>
    <w:rsid w:val="0028185B"/>
    <w:rsid w:val="002B43D7"/>
    <w:rsid w:val="002B7CFD"/>
    <w:rsid w:val="002D5F5C"/>
    <w:rsid w:val="003A7277"/>
    <w:rsid w:val="003D13AC"/>
    <w:rsid w:val="00426464"/>
    <w:rsid w:val="00431DE7"/>
    <w:rsid w:val="00474538"/>
    <w:rsid w:val="004B6BE7"/>
    <w:rsid w:val="00524096"/>
    <w:rsid w:val="00635F93"/>
    <w:rsid w:val="006368FA"/>
    <w:rsid w:val="00721D20"/>
    <w:rsid w:val="00760821"/>
    <w:rsid w:val="0079517F"/>
    <w:rsid w:val="007A08E9"/>
    <w:rsid w:val="007C1A1D"/>
    <w:rsid w:val="00807673"/>
    <w:rsid w:val="008221CA"/>
    <w:rsid w:val="008E1EE1"/>
    <w:rsid w:val="00904302"/>
    <w:rsid w:val="009D4892"/>
    <w:rsid w:val="009F563E"/>
    <w:rsid w:val="00A16841"/>
    <w:rsid w:val="00B033E2"/>
    <w:rsid w:val="00B067C4"/>
    <w:rsid w:val="00B800C2"/>
    <w:rsid w:val="00C36430"/>
    <w:rsid w:val="00C8333F"/>
    <w:rsid w:val="00E15E65"/>
    <w:rsid w:val="00E334AA"/>
    <w:rsid w:val="00E82D8F"/>
    <w:rsid w:val="00E83AA1"/>
    <w:rsid w:val="00ED2AF1"/>
    <w:rsid w:val="00F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81CD"/>
  <w15:chartTrackingRefBased/>
  <w15:docId w15:val="{7E6CDB3C-93E6-4039-9546-FC84BAC8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830"/>
    <w:pPr>
      <w:spacing w:after="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830"/>
    <w:pPr>
      <w:keepNext/>
      <w:keepLines/>
      <w:spacing w:before="240"/>
      <w:outlineLvl w:val="0"/>
    </w:pPr>
    <w:rPr>
      <w:rFonts w:ascii="Cambria" w:eastAsiaTheme="majorEastAsia" w:hAnsi="Cambria" w:cstheme="majorBidi"/>
      <w:b/>
      <w:color w:val="4472C4" w:themeColor="accen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830"/>
    <w:rPr>
      <w:rFonts w:ascii="Cambria" w:eastAsiaTheme="majorEastAsia" w:hAnsi="Cambria" w:cstheme="majorBidi"/>
      <w:b/>
      <w:color w:val="4472C4" w:themeColor="accent1"/>
      <w:kern w:val="0"/>
      <w:sz w:val="40"/>
      <w:szCs w:val="32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qFormat/>
    <w:rsid w:val="00055830"/>
    <w:pPr>
      <w:spacing w:line="240" w:lineRule="auto"/>
      <w:jc w:val="both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830"/>
    <w:rPr>
      <w:rFonts w:ascii="Arial Narrow" w:eastAsia="Calibri" w:hAnsi="Arial Narrow" w:cs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Odwołanie przypisu1,Odwołanie przypisu2,Odwołanie przypisu,Footnote symbol,Footnote reference number,note TESI,SUPERS,EN Footnote Reference,Footnote number,Ref,de nota al pie,Odwo3anie przypisu,number"/>
    <w:basedOn w:val="Domylnaczcionkaakapitu"/>
    <w:uiPriority w:val="99"/>
    <w:semiHidden/>
    <w:unhideWhenUsed/>
    <w:rsid w:val="00055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Bednarczyk</dc:creator>
  <cp:keywords/>
  <dc:description/>
  <cp:lastModifiedBy>Kinga Gołębiewska</cp:lastModifiedBy>
  <cp:revision>3</cp:revision>
  <cp:lastPrinted>2023-08-09T12:05:00Z</cp:lastPrinted>
  <dcterms:created xsi:type="dcterms:W3CDTF">2023-08-10T08:20:00Z</dcterms:created>
  <dcterms:modified xsi:type="dcterms:W3CDTF">2023-08-10T12:44:00Z</dcterms:modified>
</cp:coreProperties>
</file>